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ED" w:rsidRDefault="001805ED" w:rsidP="001805ED">
      <w:bookmarkStart w:id="0" w:name="_GoBack"/>
      <w:bookmarkEnd w:id="0"/>
    </w:p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4E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Default="00EF1AC8" w:rsidP="00EF1AC8">
      <w:pPr>
        <w:rPr>
          <w:szCs w:val="28"/>
        </w:rPr>
      </w:pPr>
      <w:r>
        <w:rPr>
          <w:szCs w:val="28"/>
        </w:rPr>
        <w:t>Ministerstvo kultury ČR, Maltézské náměstí 1, 118 11, Praha 1 Malá Strana, tel.: 257 085</w:t>
      </w:r>
      <w:r w:rsidR="00B8176A">
        <w:rPr>
          <w:szCs w:val="28"/>
        </w:rPr>
        <w:t> </w:t>
      </w:r>
      <w:r>
        <w:rPr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</w:t>
                            </w:r>
                          </w:p>
                          <w:bookmarkEnd w:id="1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68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 xml:space="preserve">ŽÁDOST </w:t>
                      </w:r>
                    </w:p>
                    <w:bookmarkEnd w:id="2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68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5F568E">
              <w:rPr>
                <w:bCs/>
              </w:rPr>
              <w:t>2018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5F3608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B817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 ano, ve kterých letech a na </w:t>
            </w:r>
            <w:r w:rsidR="00C05B8F">
              <w:rPr>
                <w:sz w:val="20"/>
                <w:szCs w:val="20"/>
              </w:rPr>
              <w:t>jaké práce</w:t>
            </w:r>
            <w:r>
              <w:rPr>
                <w:sz w:val="20"/>
                <w:szCs w:val="20"/>
              </w:rPr>
              <w:t>?</w:t>
            </w:r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5F568E">
              <w:rPr>
                <w:b/>
                <w:sz w:val="20"/>
                <w:szCs w:val="20"/>
              </w:rPr>
              <w:t>2018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2559A5" w:rsidRPr="00CF734D" w:rsidRDefault="002559A5" w:rsidP="00003E4B"/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údajů nepodléhajících režimu zákona č. 101/2000 Sb. a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E42392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E42392">
              <w:rPr>
                <w:snapToGrid w:val="0"/>
                <w:sz w:val="20"/>
                <w:szCs w:val="20"/>
              </w:rPr>
              <w:t xml:space="preserve"> </w:t>
            </w:r>
            <w:r w:rsidR="00E42392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E423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E42392">
        <w:rPr>
          <w:sz w:val="20"/>
          <w:szCs w:val="20"/>
        </w:rPr>
        <w:t xml:space="preserve">v Ostravě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063"/>
      </w:tblGrid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E42392">
              <w:rPr>
                <w:b/>
                <w:sz w:val="20"/>
                <w:szCs w:val="20"/>
              </w:rPr>
              <w:t xml:space="preserve"> Ing. Martin Dostál</w:t>
            </w:r>
          </w:p>
        </w:tc>
      </w:tr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E4239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E42392" w:rsidRPr="00AA6A31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  <w:r w:rsidR="00E4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E42392">
              <w:rPr>
                <w:b/>
                <w:sz w:val="20"/>
                <w:szCs w:val="20"/>
              </w:rPr>
              <w:t xml:space="preserve"> 553 756 402</w:t>
            </w:r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5F568E">
        <w:rPr>
          <w:b/>
          <w:color w:val="FF0000"/>
          <w:sz w:val="21"/>
          <w:szCs w:val="21"/>
        </w:rPr>
        <w:t>2018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5F568E">
        <w:rPr>
          <w:b/>
          <w:sz w:val="21"/>
          <w:szCs w:val="21"/>
        </w:rPr>
        <w:t>2018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2518FC" w:rsidRPr="007C3B3A" w:rsidRDefault="00AD0E52" w:rsidP="007A2238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</w:p>
    <w:sectPr w:rsidR="002518FC" w:rsidRPr="007C3B3A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62" w:rsidRDefault="00823A62" w:rsidP="00A500CA">
      <w:r>
        <w:separator/>
      </w:r>
    </w:p>
  </w:endnote>
  <w:endnote w:type="continuationSeparator" w:id="0">
    <w:p w:rsidR="00823A62" w:rsidRDefault="00823A62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50BD2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62" w:rsidRDefault="00823A62" w:rsidP="00A500CA">
      <w:r>
        <w:separator/>
      </w:r>
    </w:p>
  </w:footnote>
  <w:footnote w:type="continuationSeparator" w:id="0">
    <w:p w:rsidR="00823A62" w:rsidRDefault="00823A62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50BD2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C3B3A"/>
    <w:rsid w:val="007D6191"/>
    <w:rsid w:val="007E1233"/>
    <w:rsid w:val="007E5FFD"/>
    <w:rsid w:val="007F0952"/>
    <w:rsid w:val="00800C1D"/>
    <w:rsid w:val="0081292D"/>
    <w:rsid w:val="00823A62"/>
    <w:rsid w:val="00834927"/>
    <w:rsid w:val="00851B43"/>
    <w:rsid w:val="008673D3"/>
    <w:rsid w:val="0087178A"/>
    <w:rsid w:val="008A085A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tal@opava-cit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1BF62-A159-46CE-8652-0C6C61DF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2018-01-08T14:30:00Z</dcterms:created>
  <dcterms:modified xsi:type="dcterms:W3CDTF">2018-01-08T14:30:00Z</dcterms:modified>
</cp:coreProperties>
</file>